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5CBD" w:rsidTr="004C5CBD">
        <w:tc>
          <w:tcPr>
            <w:tcW w:w="4531" w:type="dxa"/>
          </w:tcPr>
          <w:p w:rsidR="004C5CBD" w:rsidRDefault="004C5CBD" w:rsidP="004C5CBD">
            <w:pPr>
              <w:spacing w:before="300" w:after="150"/>
              <w:textAlignment w:val="baseline"/>
              <w:outlineLvl w:val="2"/>
              <w:rPr>
                <w:rFonts w:ascii="Helvetica" w:eastAsia="Times New Roman" w:hAnsi="Helvetica" w:cs="Helvetica"/>
                <w:color w:val="002D51"/>
                <w:sz w:val="36"/>
                <w:szCs w:val="36"/>
                <w:lang w:eastAsia="pl-PL"/>
              </w:rPr>
            </w:pPr>
            <w:r>
              <w:rPr>
                <w:rFonts w:ascii="Helvetica" w:eastAsia="Times New Roman" w:hAnsi="Helvetica" w:cs="Helvetica"/>
                <w:noProof/>
                <w:color w:val="002D51"/>
                <w:sz w:val="36"/>
                <w:szCs w:val="36"/>
                <w:lang w:eastAsia="pl-PL"/>
              </w:rPr>
              <w:drawing>
                <wp:inline distT="0" distB="0" distL="0" distR="0" wp14:anchorId="6875CB47" wp14:editId="0A043F2F">
                  <wp:extent cx="763954" cy="11334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73" cy="11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C5CBD" w:rsidRDefault="004C5CBD" w:rsidP="004C5CBD">
            <w:pPr>
              <w:spacing w:before="300" w:after="150"/>
              <w:jc w:val="right"/>
              <w:textAlignment w:val="baseline"/>
              <w:outlineLvl w:val="2"/>
              <w:rPr>
                <w:rFonts w:ascii="Helvetica" w:eastAsia="Times New Roman" w:hAnsi="Helvetica" w:cs="Helvetica"/>
                <w:color w:val="002D51"/>
                <w:sz w:val="36"/>
                <w:szCs w:val="36"/>
                <w:lang w:eastAsia="pl-PL"/>
              </w:rPr>
            </w:pPr>
            <w:r>
              <w:rPr>
                <w:rFonts w:ascii="Helvetica" w:eastAsia="Times New Roman" w:hAnsi="Helvetica" w:cs="Helvetica"/>
                <w:noProof/>
                <w:color w:val="002D51"/>
                <w:sz w:val="36"/>
                <w:szCs w:val="36"/>
                <w:lang w:eastAsia="pl-PL"/>
              </w:rPr>
              <w:drawing>
                <wp:inline distT="0" distB="0" distL="0" distR="0" wp14:anchorId="662A5D33" wp14:editId="02464952">
                  <wp:extent cx="966320" cy="96202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48" cy="97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B98" w:rsidRDefault="00540B98" w:rsidP="00540B98">
      <w:pPr>
        <w:shd w:val="clear" w:color="auto" w:fill="FFFFFF"/>
        <w:spacing w:before="300" w:after="15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Rajd Pań 2019</w:t>
      </w:r>
    </w:p>
    <w:p w:rsidR="00540B98" w:rsidRDefault="00540B98" w:rsidP="00540B98">
      <w:pPr>
        <w:shd w:val="clear" w:color="auto" w:fill="FFFFFF"/>
        <w:spacing w:before="300" w:after="15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2 runda Turystyczno-Nawigacyjnych Mistrzostw Okręgu Warszawskiego</w:t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1.    Organizator</w:t>
      </w:r>
    </w:p>
    <w:p w:rsidR="00565D3E" w:rsidRP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Organizatorem imprez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y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turystycznej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„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Rajd Pań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201</w:t>
      </w:r>
      <w:r w:rsidR="0001019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9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”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jest Komisja Sportów Popularnych i Turystyki Automobilklubu Polski.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  <w:r w:rsidRPr="00565D3E">
        <w:rPr>
          <w:rFonts w:ascii="inherit" w:eastAsia="Times New Roman" w:hAnsi="inherit" w:cs="Helvetica"/>
          <w:b/>
          <w:bCs/>
          <w:color w:val="002D51"/>
          <w:sz w:val="24"/>
          <w:szCs w:val="24"/>
          <w:bdr w:val="none" w:sz="0" w:space="0" w:color="auto" w:frame="1"/>
          <w:lang w:eastAsia="pl-PL"/>
        </w:rPr>
        <w:t>Automobilklub Polski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, ul. Powstańców Śląskich 127, 01-355 Warszawa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NIP: 527-010-50-71, e-mail: </w:t>
      </w:r>
      <w:hyperlink r:id="rId7" w:history="1">
        <w:r w:rsidRPr="00565D3E">
          <w:rPr>
            <w:rFonts w:ascii="inherit" w:eastAsia="Times New Roman" w:hAnsi="inherit" w:cs="Helvetica"/>
            <w:color w:val="002D51"/>
            <w:sz w:val="24"/>
            <w:szCs w:val="24"/>
            <w:u w:val="single"/>
            <w:bdr w:val="none" w:sz="0" w:space="0" w:color="auto" w:frame="1"/>
            <w:lang w:eastAsia="pl-PL"/>
          </w:rPr>
          <w:t>turystyka@automobilklubpolski.pl</w:t>
        </w:r>
      </w:hyperlink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 xml:space="preserve">2.    Cel </w:t>
      </w:r>
      <w:r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imprezy</w:t>
      </w:r>
    </w:p>
    <w:p w:rsid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Celem imprez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y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jest szerzenie kultury motoryzacyjnej, podnoszenie umiejętności prowadzenia samochodu, czytania mapy i orientacji w terenie oraz sportowa rywalizacja w dyscyplinach nawigacji i turystyki samochodowej.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3.    Uczestnictwo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Uczestnikiem imprez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y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jest załoga (kierowca i pilot), która zgłosi organizatorowi w przewidzianym terminie swój udział i dokona niezbędnych formalności (zgodnie z komunikatem organizatora/regulaminem uzupełniającym), w tym opłaty startowej.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Samochód uczestniczący w imprezie musi być sprawny technicznie oraz musi spełniać wymagania wynikające z Prawa o Ruchu Drogowym dopuszczające go do ruchu na drogach publicznych Rzeczpospolitej Polskiej, a kierowca obowiązany jest posiadać przy sobie wszystkie dokumenty uprawniające do prowadzenia pojazdu i dopuszczające pojazd do ruchu po drogach publicznych, oraz obowiązkowe ubezpieczenie OC.</w:t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4.    Zgłoszenia i wpisowe</w:t>
      </w:r>
    </w:p>
    <w:p w:rsid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Załoga zgłaszająca się na imprezę zobowiązana jest do wypełnienia i przesłania formularza zgłoszeniowego, dostępnego na stronie internetowej imprezy, zgodnie z zaleceniami na niej zamieszczonymi oraz dokonania opłaty dopuszczającej do startu. W koszt opłaty startowej wchodzi kwota wpisowego, zapewniająca otrzymanie materiałów startowych oraz koszt cateringu.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Potwierdzeniem przyjęcia zgłoszenia do imprezy jest umieszczenie załogi na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lastRenderedPageBreak/>
        <w:t>opublikowanych listach: zgłoszeń oraz startowej, na stronie internetowej imprezy, po zamknięciu 2. terminu zgłoszeń.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Wysokość wpisowego: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Termin pierwszy do 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04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.0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.2019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(poniedziałek)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godz.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23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: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59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30 zł od osoby. 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Termin drugi do 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07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.0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.2019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(czwartek)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godz. 12:00 – 40 zł od osoby. </w:t>
      </w:r>
    </w:p>
    <w:p w:rsidR="00BD16E5" w:rsidRPr="00565D3E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5.    Biuro rajdu</w:t>
      </w: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Do dnia poprzedzającego imprezę wszelkie pytania i prośby o informacje można przesyłać na adres: </w:t>
      </w:r>
      <w:hyperlink r:id="rId8" w:history="1">
        <w:r w:rsidRPr="00565D3E">
          <w:rPr>
            <w:rFonts w:ascii="inherit" w:eastAsia="Times New Roman" w:hAnsi="inherit" w:cs="Helvetica"/>
            <w:color w:val="002D51"/>
            <w:sz w:val="24"/>
            <w:szCs w:val="24"/>
            <w:u w:val="single"/>
            <w:bdr w:val="none" w:sz="0" w:space="0" w:color="auto" w:frame="1"/>
            <w:lang w:eastAsia="pl-PL"/>
          </w:rPr>
          <w:t>turystyka@automobilklubpolski.pl</w:t>
        </w:r>
      </w:hyperlink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Biuro Rajdu w dniu imprezy usytuowane będzie w siedzibie Automobilklubu Polski na ul. Powstańców Śląskich 127, chyba że na stronie internetowej imprezy zostanie podana inna lokalizacja.</w:t>
      </w: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6.    Program Imprezy i osoby funkcyjne</w:t>
      </w:r>
    </w:p>
    <w:p w:rsidR="00BD16E5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</w:pPr>
      <w:r w:rsidRPr="00BD16E5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Ramowy program imprezy</w:t>
      </w:r>
      <w:r w:rsidR="00BD16E5" w:rsidRPr="00BD16E5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:</w:t>
      </w:r>
    </w:p>
    <w:p w:rsidR="00734BA7" w:rsidRP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</w:pP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09</w:t>
      </w:r>
      <w:r w:rsidR="00734BA7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.0</w:t>
      </w: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3</w:t>
      </w:r>
      <w:r w:rsidR="00734BA7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.2019 (</w:t>
      </w: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Sobota</w:t>
      </w:r>
      <w:r w:rsidR="00734BA7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)</w:t>
      </w:r>
    </w:p>
    <w:p w:rsid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9:00</w:t>
      </w:r>
      <w:r w:rsidR="00BD16E5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Otwarcie Biura Rajdu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</w:t>
      </w:r>
    </w:p>
    <w:p w:rsid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10:00</w:t>
      </w:r>
      <w:r w:rsidR="00BD16E5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Odprawa Uczestników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0:30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Start pierwszej załogi do pierwszego odcinka drogowego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</w:t>
      </w:r>
    </w:p>
    <w:p w:rsid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12:00</w:t>
      </w:r>
      <w:r w:rsidR="00BD16E5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– Start pierwszej załogi do drugiego odcinka drogowego 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3:30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– Meta pierwszej załogi</w:t>
      </w:r>
      <w:r w:rsidR="00734BA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(Autodrom Automobilklubu Polski – Powstańców Śląskich 127, Warszawa). 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3:35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Próby SZ 1 i SZ2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5:00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Wywieszenie Prawidłowych przejazdów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5:45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Prowizoryczne wyniki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6:15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Wyniki końcowe, rozdanie pucharów. </w:t>
      </w:r>
    </w:p>
    <w:p w:rsidR="00150EB6" w:rsidRDefault="00150EB6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(Harmonogram może ulec zmianie w zależności od ilości uczestników.)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Osoby funkcyjne:</w:t>
      </w:r>
    </w:p>
    <w:p w:rsidR="00BD16E5" w:rsidRP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734BA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Dyrektor imprezy: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Bartosz Komarnicki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Autor trasy: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Konrad Lehr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Weryfikator trasy: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Bartosz Komarnicki</w:t>
      </w:r>
      <w:r w:rsidR="00FE19A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Kierownik prób sportowych: Andrzej Kołodziejski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Kierownik komisji obliczeń: Jerzy Trzaska</w:t>
      </w:r>
    </w:p>
    <w:p w:rsidR="00FE19AD" w:rsidRPr="00FE19AD" w:rsidRDefault="00FE19AD" w:rsidP="00FE19AD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lastRenderedPageBreak/>
        <w:t>7.    Punktacja i klasyfikacja w rundzie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Rajd </w:t>
      </w:r>
      <w:r w:rsidR="00FE19A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Turystyczny „Rajd Pań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201</w:t>
      </w:r>
      <w:r w:rsidR="0001019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9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” będzie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składać się z 2 odcinków.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Maksymalny limit spóźnień na odcinku wynosi 45 minut.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Łączny limit spóźnień wynosi 60 minut.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</w:p>
    <w:p w:rsidR="00107837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1.    Za każdą zakończoną minutę wcześniejszego lub późniejszego przyjazdu na PKC :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od  1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 minut  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od 11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45 minut  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 pkt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Za przekroczenie limitu spóźnień na odcinku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10 000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2.    Za niewłaściwy przejazd trasy stwierdzony przez: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brak wizy na PKP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pobranie niewłaściwej wizy PKP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60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3.    Za niewystartowanie do odcinka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80 000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4.    Za błędne odpowiedzi w teście z BRD i pomocy przedmedycznej (max. 10 pytań)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łącznie do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W przypadku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nie</w:t>
      </w:r>
      <w:r w:rsidR="0001019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przystąpienia do zadań z BRD i pomocy przedmedycznej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2 000 pkt. </w:t>
      </w:r>
      <w:r w:rsidR="00121A8A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arnych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</w:t>
      </w:r>
      <w:r w:rsidR="0001019D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</w:p>
    <w:p w:rsidR="00565D3E" w:rsidRPr="00565D3E" w:rsidRDefault="0010783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5. Za brak w załodze kobiety lub osoby „</w:t>
      </w:r>
      <w:proofErr w:type="spellStart"/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kobietopodobnej</w:t>
      </w:r>
      <w:proofErr w:type="spellEnd"/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” – 200 pkt.</w:t>
      </w:r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6</w:t>
      </w:r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.    Za niestosowanie się do uwag organizatorów i sędziów, niesportowe zachowanie wobec współuczestników rajdu, zmianę pojazdu lub składu załogi </w:t>
      </w:r>
      <w:r w:rsidR="00565D3E"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dyskwalifikacja.</w:t>
      </w:r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7</w:t>
      </w:r>
      <w:bookmarkStart w:id="0" w:name="_GoBack"/>
      <w:bookmarkEnd w:id="0"/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    Komunikowanie się załóg między sobą podczas trwania imprezy jest zabronione i podlega karze, którą nadaje jury.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Punktację prób sprawności kierowania pojazdem stanowi suma punktów wynikająca z czasu przejazdu próby zgodnie ze schematem, oraz punktów karnych za błędy popełnione w czasie wykonywania próby: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1.    za każde ukończone 0,1 sek. przejazdu próby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0, 1 punktu.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2.    za przewrócenie lub przesunięcie słupka poza jego obrys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3.    za niewystartowanie do próby, błędne przejechanie próby, nieprawidłowe pokonanie próby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„TARYFA”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4.    za popełnienie FALSTARTU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5.    przekroczenie linii „mety stop”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6.    za każdą próbę, do której zawodnik nie wystartował zostanie naliczona „TARYFA”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Kierowca, który uzyskał w swej kategorii najlepszy wynik otrzymuje 0 pkt. Pozostali, liczbę punktów odpowiadającą różnicy między uzyskanym wynikiem a najlepszym wynikiem, jednak nie więcej niż 200 pkt.</w:t>
      </w:r>
    </w:p>
    <w:p w:rsidR="0001019D" w:rsidRDefault="0001019D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FE19AD" w:rsidRDefault="00FE19AD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FE19AD" w:rsidRDefault="00FE19AD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F6517B" w:rsidRDefault="00F6517B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lastRenderedPageBreak/>
        <w:t>8. Nagrody</w:t>
      </w:r>
    </w:p>
    <w:p w:rsidR="00F6517B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Zwycięzcy 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imprezy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otrzymują puchary (kierowca i pilot) za pierwsze trzy miejsca.</w:t>
      </w:r>
    </w:p>
    <w:p w:rsidR="00565D3E" w:rsidRPr="00565D3E" w:rsidRDefault="00F6517B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Pozostałe miejsca nagradzane będą pamiątkowymi medalami. </w:t>
      </w:r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9.    Jury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W skład jury każdej imprezy cyklu wchodzi dyrektor imprezy i dwóch przedstawicieli Komisji Sportów Popularnych i Turystyki Automobilklubu Polski. Postanowienia Jury są ostateczne i nie podlegają protestom.</w:t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10.    Postanowienia końcowe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Organizator nie ponosi odpowiedzialności za szkody wynikłe w czasie trwania imprezy, zarówno wobec uczestników, sprzętu jak i osób trzecich. Zawodnicy zobowiązani są do przestrzegania przepisów ruchu drogowego i zasad bezpiecznej jazdy.</w:t>
      </w: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</w:pPr>
      <w:r w:rsidRPr="00565D3E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 xml:space="preserve">KSPiT AP, Warszawa, </w:t>
      </w:r>
      <w:r w:rsidR="00FE19AD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25</w:t>
      </w:r>
      <w:r w:rsidRPr="00565D3E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.0</w:t>
      </w:r>
      <w:r w:rsidR="00FE19AD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2</w:t>
      </w:r>
      <w:r w:rsidRPr="00565D3E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.20</w:t>
      </w:r>
      <w:r w:rsidR="0001019D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19</w:t>
      </w:r>
    </w:p>
    <w:p w:rsidR="0001019D" w:rsidRPr="00565D3E" w:rsidRDefault="0001019D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30125C" w:rsidRDefault="0030125C"/>
    <w:sectPr w:rsidR="0030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A1C3F"/>
    <w:multiLevelType w:val="hybridMultilevel"/>
    <w:tmpl w:val="9316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3E"/>
    <w:rsid w:val="0001019D"/>
    <w:rsid w:val="00107837"/>
    <w:rsid w:val="00121A8A"/>
    <w:rsid w:val="00150EB6"/>
    <w:rsid w:val="002637AF"/>
    <w:rsid w:val="0030125C"/>
    <w:rsid w:val="004C5CBD"/>
    <w:rsid w:val="00540B98"/>
    <w:rsid w:val="00565D3E"/>
    <w:rsid w:val="00734BA7"/>
    <w:rsid w:val="00BD16E5"/>
    <w:rsid w:val="00C31145"/>
    <w:rsid w:val="00E07E77"/>
    <w:rsid w:val="00F6517B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66092"/>
  <w15:chartTrackingRefBased/>
  <w15:docId w15:val="{649DEFB8-9A56-4CDE-BA3A-658583EA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BA7"/>
    <w:pPr>
      <w:ind w:left="720"/>
      <w:contextualSpacing/>
    </w:pPr>
  </w:style>
  <w:style w:type="table" w:styleId="Tabela-Siatka">
    <w:name w:val="Table Grid"/>
    <w:basedOn w:val="Standardowy"/>
    <w:uiPriority w:val="39"/>
    <w:rsid w:val="004C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automobilklubp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ystyka@automobilklubp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Komarnicki</dc:creator>
  <cp:keywords/>
  <dc:description/>
  <cp:lastModifiedBy>Benedykt Chądzyński</cp:lastModifiedBy>
  <cp:revision>2</cp:revision>
  <cp:lastPrinted>2019-02-17T22:34:00Z</cp:lastPrinted>
  <dcterms:created xsi:type="dcterms:W3CDTF">2019-03-01T18:45:00Z</dcterms:created>
  <dcterms:modified xsi:type="dcterms:W3CDTF">2019-03-01T18:45:00Z</dcterms:modified>
</cp:coreProperties>
</file>